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1D" w:rsidRDefault="0027021D">
      <w:pPr>
        <w:pStyle w:val="Textoindependiente"/>
        <w:spacing w:before="11"/>
        <w:rPr>
          <w:rFonts w:ascii="Times New Roman" w:hAnsi="Times New Roman"/>
        </w:rPr>
      </w:pPr>
      <w:bookmarkStart w:id="0" w:name="_GoBack"/>
      <w:bookmarkEnd w:id="0"/>
    </w:p>
    <w:p w:rsidR="0027021D" w:rsidRDefault="001450B0">
      <w:pPr>
        <w:pStyle w:val="Textoindependiente"/>
        <w:spacing w:before="94" w:line="358" w:lineRule="exact"/>
        <w:ind w:left="154"/>
      </w:pPr>
      <w:r>
        <w:rPr>
          <w:rFonts w:ascii="Lucida Sans" w:hAnsi="Lucida Sans"/>
          <w:color w:val="333333"/>
          <w:w w:val="105"/>
          <w:sz w:val="31"/>
        </w:rPr>
        <w:t>ADENDA</w:t>
      </w:r>
      <w:r>
        <w:rPr>
          <w:w w:val="105"/>
        </w:rPr>
        <w:t>DE LA GUIA DOCENTE DE LA ASIGNATURA</w:t>
      </w:r>
    </w:p>
    <w:p w:rsidR="0027021D" w:rsidRDefault="001450B0">
      <w:pPr>
        <w:tabs>
          <w:tab w:val="left" w:pos="8613"/>
        </w:tabs>
        <w:spacing w:line="358" w:lineRule="exact"/>
        <w:ind w:left="154"/>
        <w:rPr>
          <w:rFonts w:ascii="Lucida Sans" w:hAnsi="Lucida Sans"/>
          <w:color w:val="333333"/>
          <w:spacing w:val="-12"/>
          <w:sz w:val="31"/>
        </w:rPr>
      </w:pPr>
      <w:r>
        <w:rPr>
          <w:rFonts w:ascii="Lucida Sans" w:hAnsi="Lucida Sans"/>
          <w:color w:val="333333"/>
          <w:spacing w:val="-12"/>
          <w:sz w:val="31"/>
        </w:rPr>
        <w:t>ATENCIÓN A LA DIVERSIDAD EN EDUCACIÓN PRIMARIA</w:t>
      </w:r>
    </w:p>
    <w:p w:rsidR="0027021D" w:rsidRDefault="001450B0">
      <w:pPr>
        <w:tabs>
          <w:tab w:val="left" w:pos="8613"/>
        </w:tabs>
        <w:spacing w:line="358" w:lineRule="exact"/>
        <w:ind w:left="154"/>
      </w:pPr>
      <w:r>
        <w:rPr>
          <w:rFonts w:ascii="Lucida Sans" w:hAnsi="Lucida Sans"/>
          <w:color w:val="333333"/>
          <w:spacing w:val="-14"/>
          <w:sz w:val="31"/>
        </w:rPr>
        <w:tab/>
      </w:r>
      <w:r>
        <w:rPr>
          <w:rFonts w:ascii="Lucida Sans" w:hAnsi="Lucida Sans"/>
          <w:spacing w:val="-5"/>
          <w:sz w:val="31"/>
          <w:vertAlign w:val="subscript"/>
        </w:rPr>
        <w:t>Curso</w:t>
      </w:r>
      <w:r>
        <w:rPr>
          <w:rFonts w:ascii="Lucida Sans" w:hAnsi="Lucida Sans"/>
          <w:spacing w:val="-74"/>
          <w:sz w:val="31"/>
        </w:rPr>
        <w:t xml:space="preserve"> </w:t>
      </w:r>
      <w:r>
        <w:rPr>
          <w:rFonts w:ascii="Lucida Sans" w:hAnsi="Lucida Sans"/>
          <w:spacing w:val="-7"/>
          <w:sz w:val="31"/>
          <w:vertAlign w:val="subscript"/>
        </w:rPr>
        <w:t>2019-2020</w:t>
      </w:r>
    </w:p>
    <w:p w:rsidR="0027021D" w:rsidRDefault="001450B0">
      <w:pPr>
        <w:pStyle w:val="Textoindependiente"/>
        <w:spacing w:before="23"/>
        <w:ind w:left="6755"/>
      </w:pPr>
      <w:r>
        <w:rPr>
          <w:spacing w:val="-6"/>
          <w:w w:val="105"/>
        </w:rPr>
        <w:t xml:space="preserve">(Fecha </w:t>
      </w:r>
      <w:r>
        <w:rPr>
          <w:spacing w:val="-4"/>
          <w:w w:val="105"/>
        </w:rPr>
        <w:t xml:space="preserve">de </w:t>
      </w:r>
      <w:r>
        <w:rPr>
          <w:spacing w:val="-7"/>
          <w:w w:val="105"/>
        </w:rPr>
        <w:t xml:space="preserve">aprobación </w:t>
      </w:r>
      <w:r>
        <w:rPr>
          <w:spacing w:val="-4"/>
          <w:w w:val="105"/>
        </w:rPr>
        <w:t xml:space="preserve">de la </w:t>
      </w:r>
      <w:r>
        <w:rPr>
          <w:spacing w:val="-6"/>
          <w:w w:val="105"/>
        </w:rPr>
        <w:t xml:space="preserve">adenda: </w:t>
      </w:r>
      <w:r w:rsidR="006E096F">
        <w:rPr>
          <w:spacing w:val="-6"/>
          <w:w w:val="105"/>
        </w:rPr>
        <w:t>30</w:t>
      </w:r>
      <w:r>
        <w:rPr>
          <w:spacing w:val="-7"/>
          <w:w w:val="105"/>
        </w:rPr>
        <w:t>/</w:t>
      </w:r>
      <w:r w:rsidR="006E096F">
        <w:rPr>
          <w:spacing w:val="-7"/>
          <w:w w:val="105"/>
        </w:rPr>
        <w:t>04</w:t>
      </w:r>
      <w:r>
        <w:rPr>
          <w:spacing w:val="-7"/>
          <w:w w:val="105"/>
        </w:rPr>
        <w:t>/</w:t>
      </w:r>
      <w:r w:rsidR="006E096F">
        <w:rPr>
          <w:spacing w:val="-7"/>
          <w:w w:val="105"/>
        </w:rPr>
        <w:t>2020</w:t>
      </w:r>
      <w:r>
        <w:rPr>
          <w:spacing w:val="-7"/>
          <w:w w:val="105"/>
        </w:rPr>
        <w:t>)</w:t>
      </w:r>
    </w:p>
    <w:p w:rsidR="0027021D" w:rsidRDefault="0027021D">
      <w:pPr>
        <w:pStyle w:val="Textoindependiente"/>
        <w:rPr>
          <w:sz w:val="20"/>
        </w:rPr>
      </w:pPr>
    </w:p>
    <w:p w:rsidR="0027021D" w:rsidRDefault="001450B0">
      <w:pPr>
        <w:pStyle w:val="Textoindependiente"/>
        <w:spacing w:before="2"/>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628650</wp:posOffset>
                </wp:positionH>
                <wp:positionV relativeFrom="paragraph">
                  <wp:posOffset>158748</wp:posOffset>
                </wp:positionV>
                <wp:extent cx="6400799" cy="0"/>
                <wp:effectExtent l="0" t="0" r="19051" b="19050"/>
                <wp:wrapTopAndBottom/>
                <wp:docPr id="4" name="Line 2"/>
                <wp:cNvGraphicFramePr/>
                <a:graphic xmlns:a="http://schemas.openxmlformats.org/drawingml/2006/main">
                  <a:graphicData uri="http://schemas.microsoft.com/office/word/2010/wordprocessingShape">
                    <wps:wsp>
                      <wps:cNvCnPr/>
                      <wps:spPr>
                        <a:xfrm>
                          <a:off x="0" y="0"/>
                          <a:ext cx="6400799" cy="0"/>
                        </a:xfrm>
                        <a:prstGeom prst="straightConnector1">
                          <a:avLst/>
                        </a:prstGeom>
                        <a:noFill/>
                        <a:ln w="12188">
                          <a:solidFill>
                            <a:srgbClr val="E92C3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2" o:spid="_x0000_s1026" type="#_x0000_t32" style="position:absolute;margin-left:49.5pt;margin-top:12.5pt;width:7in;height:0;z-index:2516577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NZqAEAADkDAAAOAAAAZHJzL2Uyb0RvYy54bWysUs1u2zAMvg/YOwi6L3a8okuMOD0k6y7F&#10;FmDdAyiybAuQRYFU4+TtR8lpup/bsAsl/n0kP3LzcB6dOBkkC76Ry0UphfEaWuv7Rv54fvywkoKi&#10;8q1y4E0jL4bkw/b9u80UalPBAK41KBjEUz2FRg4xhrooSA9mVLSAYDw7O8BRRVaxL1pUE6OPrqjK&#10;8r6YANuAoA0RW/ezU24zftcZHb91HZkoXCO5t5glZnlMsthuVN2jCoPV1zbUP3QxKuu56A1qr6IS&#10;L2j/ghqtRiDo4kLDWEDXWW3yDDzNsvxjmu+DCibPwuRQuNFE/w9Wfz0dUNi2kXdSeDXyip6sN6JK&#10;zEyBag7Y+QNeNQoHTGOeOxzTywOIc2bzcmPTnKPQbLy/K8tP67UU+tVXvCUGpPjFwCjSp5EUUdl+&#10;iDvwnncGuMxsqtMTRS7Nia8JqaqHR+tcXp3zYuK7q5arVc4gcLZN3hRH2B93DsVJ8fY/r6vdx7xw&#10;RvstLEHvFQ1zXHbNd4Hw4tu5vPPcReJjZiD9jtBeMjHZzvvJfV5vKR3Ar3rOfrv47U8AAAD//wMA&#10;UEsDBBQABgAIAAAAIQD6gmVF3QAAAAkBAAAPAAAAZHJzL2Rvd25yZXYueG1sTI/LbsIwEEX3lfoP&#10;1lTqrjhQQUsaByGkbtigAAu6M/bkocbjKDYk/fsO6oKu5nFHd87NVqNrxRX70HhSMJ0kIJCMtw1V&#10;Co6Hz5d3ECFqsrr1hAp+MMAqf3zIdGr9QAVe97ESbEIh1QrqGLtUymBqdDpMfIfEWul7pyOPfSVt&#10;rwc2d62cJclCOt0Qf6h1h5sazff+4hRsC3MwJzeejm477Ir51+7Vl6VSz0/j+gNExDHej+GGz+iQ&#10;M9PZX8gG0SpYLjlKVDCbc73p0+SNu/PfRuaZ/J8g/wUAAP//AwBQSwECLQAUAAYACAAAACEAtoM4&#10;kv4AAADhAQAAEwAAAAAAAAAAAAAAAAAAAAAAW0NvbnRlbnRfVHlwZXNdLnhtbFBLAQItABQABgAI&#10;AAAAIQA4/SH/1gAAAJQBAAALAAAAAAAAAAAAAAAAAC8BAABfcmVscy8ucmVsc1BLAQItABQABgAI&#10;AAAAIQDC3GNZqAEAADkDAAAOAAAAAAAAAAAAAAAAAC4CAABkcnMvZTJvRG9jLnhtbFBLAQItABQA&#10;BgAIAAAAIQD6gmVF3QAAAAkBAAAPAAAAAAAAAAAAAAAAAAIEAABkcnMvZG93bnJldi54bWxQSwUG&#10;AAAAAAQABADzAAAADAUAAAAA&#10;" strokecolor="#e92c30" strokeweight=".33856mm">
                <w10:wrap type="topAndBottom" anchorx="page"/>
              </v:shape>
            </w:pict>
          </mc:Fallback>
        </mc:AlternateContent>
      </w:r>
    </w:p>
    <w:p w:rsidR="0027021D" w:rsidRDefault="0027021D">
      <w:pPr>
        <w:pStyle w:val="Textoindependiente"/>
        <w:rPr>
          <w:sz w:val="29"/>
        </w:rPr>
      </w:pPr>
    </w:p>
    <w:tbl>
      <w:tblPr>
        <w:tblW w:w="10189" w:type="dxa"/>
        <w:tblInd w:w="125" w:type="dxa"/>
        <w:tblLayout w:type="fixed"/>
        <w:tblCellMar>
          <w:left w:w="10" w:type="dxa"/>
          <w:right w:w="10" w:type="dxa"/>
        </w:tblCellMar>
        <w:tblLook w:val="0000" w:firstRow="0" w:lastRow="0" w:firstColumn="0" w:lastColumn="0" w:noHBand="0" w:noVBand="0"/>
      </w:tblPr>
      <w:tblGrid>
        <w:gridCol w:w="2088"/>
        <w:gridCol w:w="2429"/>
        <w:gridCol w:w="1051"/>
        <w:gridCol w:w="1363"/>
        <w:gridCol w:w="1905"/>
        <w:gridCol w:w="1353"/>
      </w:tblGrid>
      <w:tr w:rsidR="0027021D">
        <w:trPr>
          <w:trHeight w:val="450"/>
        </w:trPr>
        <w:tc>
          <w:tcPr>
            <w:tcW w:w="4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GRADO EN EL QUE SE IMPARTE</w:t>
            </w:r>
          </w:p>
        </w:tc>
        <w:tc>
          <w:tcPr>
            <w:tcW w:w="56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tc>
      </w:tr>
      <w:tr w:rsidR="0027021D">
        <w:trPr>
          <w:trHeight w:val="4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MÓDULO</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MATERIA</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ind w:left="109"/>
              <w:rPr>
                <w:rFonts w:ascii="Arial" w:hAnsi="Arial"/>
                <w:b/>
                <w:sz w:val="19"/>
              </w:rPr>
            </w:pPr>
            <w:r>
              <w:rPr>
                <w:rFonts w:ascii="Arial" w:hAnsi="Arial"/>
                <w:b/>
                <w:sz w:val="19"/>
              </w:rPr>
              <w:t>CURSO</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SEMESTRE</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CRÉDITOS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TIPO</w:t>
            </w:r>
          </w:p>
        </w:tc>
      </w:tr>
      <w:tr w:rsidR="0027021D">
        <w:trPr>
          <w:trHeight w:val="4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EDUCACIÓN</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Atención a la Diversidad</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2º</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4º</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27021D" w:rsidRDefault="001450B0">
            <w:pPr>
              <w:pStyle w:val="TableParagraph"/>
              <w:ind w:left="0"/>
              <w:rPr>
                <w:rFonts w:ascii="Times New Roman" w:hAnsi="Times New Roman"/>
                <w:sz w:val="18"/>
              </w:rPr>
            </w:pPr>
            <w:r>
              <w:rPr>
                <w:rFonts w:ascii="Times New Roman" w:hAnsi="Times New Roman"/>
                <w:sz w:val="18"/>
              </w:rPr>
              <w:t>Formación Básica</w:t>
            </w:r>
          </w:p>
        </w:tc>
      </w:tr>
    </w:tbl>
    <w:p w:rsidR="0027021D" w:rsidRDefault="0027021D">
      <w:pPr>
        <w:pStyle w:val="Textoindependiente"/>
        <w:spacing w:before="11"/>
        <w:rPr>
          <w:sz w:val="24"/>
        </w:rPr>
      </w:pPr>
    </w:p>
    <w:tbl>
      <w:tblPr>
        <w:tblW w:w="10191" w:type="dxa"/>
        <w:tblInd w:w="125" w:type="dxa"/>
        <w:tblLayout w:type="fixed"/>
        <w:tblCellMar>
          <w:left w:w="10" w:type="dxa"/>
          <w:right w:w="10" w:type="dxa"/>
        </w:tblCellMar>
        <w:tblLook w:val="0000" w:firstRow="0" w:lastRow="0" w:firstColumn="0" w:lastColumn="0" w:noHBand="0" w:noVBand="0"/>
      </w:tblPr>
      <w:tblGrid>
        <w:gridCol w:w="3973"/>
        <w:gridCol w:w="544"/>
        <w:gridCol w:w="3155"/>
        <w:gridCol w:w="852"/>
        <w:gridCol w:w="339"/>
        <w:gridCol w:w="1050"/>
        <w:gridCol w:w="278"/>
      </w:tblGrid>
      <w:tr w:rsidR="0027021D">
        <w:trPr>
          <w:trHeight w:val="450"/>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ATENCIÓN TUTORIAL</w:t>
            </w:r>
          </w:p>
        </w:tc>
      </w:tr>
      <w:tr w:rsidR="0027021D">
        <w:trPr>
          <w:trHeight w:val="686"/>
        </w:trPr>
        <w:tc>
          <w:tcPr>
            <w:tcW w:w="4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HORARIO</w:t>
            </w:r>
          </w:p>
          <w:p w:rsidR="0027021D" w:rsidRDefault="001450B0">
            <w:pPr>
              <w:pStyle w:val="TableParagraph"/>
              <w:spacing w:before="14"/>
            </w:pPr>
            <w:r>
              <w:rPr>
                <w:w w:val="105"/>
                <w:sz w:val="19"/>
              </w:rPr>
              <w:t>(Según lo establecido en el POD)</w:t>
            </w:r>
          </w:p>
        </w:tc>
        <w:tc>
          <w:tcPr>
            <w:tcW w:w="56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ind w:left="109"/>
              <w:rPr>
                <w:rFonts w:ascii="Arial" w:hAnsi="Arial"/>
                <w:b/>
                <w:sz w:val="19"/>
              </w:rPr>
            </w:pPr>
            <w:r>
              <w:rPr>
                <w:rFonts w:ascii="Arial" w:hAnsi="Arial"/>
                <w:b/>
                <w:sz w:val="19"/>
              </w:rPr>
              <w:t>HERRAMIENTAS PARA LA ATENCIÓN TUTORIAL</w:t>
            </w:r>
          </w:p>
          <w:p w:rsidR="0027021D" w:rsidRDefault="0027021D">
            <w:pPr>
              <w:pStyle w:val="TableParagraph"/>
              <w:spacing w:before="14"/>
              <w:ind w:left="109"/>
              <w:rPr>
                <w:sz w:val="19"/>
              </w:rPr>
            </w:pPr>
          </w:p>
        </w:tc>
      </w:tr>
      <w:tr w:rsidR="0027021D">
        <w:trPr>
          <w:trHeight w:val="498"/>
        </w:trPr>
        <w:tc>
          <w:tcPr>
            <w:tcW w:w="45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ind w:left="0"/>
              <w:rPr>
                <w:rFonts w:ascii="Times New Roman" w:hAnsi="Times New Roman"/>
                <w:sz w:val="18"/>
              </w:rPr>
            </w:pPr>
            <w:r>
              <w:rPr>
                <w:rFonts w:ascii="Times New Roman" w:hAnsi="Times New Roman"/>
                <w:sz w:val="18"/>
              </w:rPr>
              <w:t>Horarios oficiales de tutorías</w:t>
            </w:r>
          </w:p>
        </w:tc>
        <w:tc>
          <w:tcPr>
            <w:tcW w:w="56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ind w:left="0"/>
            </w:pPr>
            <w:r>
              <w:rPr>
                <w:w w:val="105"/>
                <w:sz w:val="19"/>
              </w:rPr>
              <w:t xml:space="preserve">Foro y mensajes por plataforma PRADO, correo electrónico y/o Google </w:t>
            </w:r>
            <w:proofErr w:type="spellStart"/>
            <w:r>
              <w:rPr>
                <w:w w:val="105"/>
                <w:sz w:val="19"/>
              </w:rPr>
              <w:t>Meet</w:t>
            </w:r>
            <w:proofErr w:type="spellEnd"/>
          </w:p>
        </w:tc>
      </w:tr>
      <w:tr w:rsidR="0027021D">
        <w:trPr>
          <w:trHeight w:val="681"/>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09"/>
              <w:rPr>
                <w:rFonts w:ascii="Arial" w:hAnsi="Arial"/>
                <w:b/>
                <w:sz w:val="19"/>
              </w:rPr>
            </w:pPr>
            <w:r>
              <w:rPr>
                <w:rFonts w:ascii="Arial" w:hAnsi="Arial"/>
                <w:b/>
                <w:sz w:val="19"/>
              </w:rPr>
              <w:t>ADAPTACIÓN DEL TEMARIO TEÓRICO Y PRÁCTICO</w:t>
            </w:r>
          </w:p>
          <w:p w:rsidR="0027021D" w:rsidRDefault="001450B0">
            <w:pPr>
              <w:pStyle w:val="TableParagraph"/>
              <w:spacing w:before="19"/>
            </w:pPr>
            <w:r>
              <w:rPr>
                <w:w w:val="105"/>
                <w:sz w:val="19"/>
              </w:rPr>
              <w:t>(Cumplimentar con el texto correspondiente, si procede)</w:t>
            </w:r>
          </w:p>
        </w:tc>
      </w:tr>
      <w:tr w:rsidR="0027021D">
        <w:trPr>
          <w:trHeight w:val="450"/>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ind w:left="0"/>
              <w:rPr>
                <w:rFonts w:ascii="Times New Roman" w:hAnsi="Times New Roman"/>
                <w:sz w:val="18"/>
              </w:rPr>
            </w:pPr>
            <w:r>
              <w:rPr>
                <w:rFonts w:ascii="Times New Roman" w:hAnsi="Times New Roman"/>
                <w:sz w:val="18"/>
              </w:rPr>
              <w:t>Sin modificación de contenidos</w:t>
            </w:r>
          </w:p>
        </w:tc>
      </w:tr>
      <w:tr w:rsidR="0027021D">
        <w:trPr>
          <w:trHeight w:val="686"/>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MEDIDAS DE ADAPTACIÓN DE LA METODOLOGÍA DOCENTE</w:t>
            </w:r>
          </w:p>
          <w:p w:rsidR="0027021D" w:rsidRDefault="001450B0">
            <w:pPr>
              <w:pStyle w:val="TableParagraph"/>
              <w:spacing w:before="19"/>
            </w:pPr>
            <w:r>
              <w:rPr>
                <w:w w:val="105"/>
                <w:sz w:val="19"/>
              </w:rPr>
              <w:t>(Actividades formativas indicando herramientas para el desarrollo de la docencia no presencial, si procede)</w:t>
            </w:r>
          </w:p>
        </w:tc>
      </w:tr>
      <w:tr w:rsidR="0027021D">
        <w:trPr>
          <w:trHeight w:val="686"/>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 xml:space="preserve">Metodología expositiva y participativa en </w:t>
            </w:r>
            <w:proofErr w:type="gramStart"/>
            <w:r>
              <w:rPr>
                <w:rFonts w:ascii="Arial" w:hAnsi="Arial"/>
                <w:b/>
                <w:sz w:val="19"/>
              </w:rPr>
              <w:t>sesiones teóricas y constructiva</w:t>
            </w:r>
            <w:proofErr w:type="gramEnd"/>
            <w:r>
              <w:rPr>
                <w:rFonts w:ascii="Arial" w:hAnsi="Arial"/>
                <w:b/>
                <w:sz w:val="19"/>
              </w:rPr>
              <w:t xml:space="preserve"> en seminarios.</w:t>
            </w:r>
          </w:p>
          <w:p w:rsidR="0027021D" w:rsidRDefault="001450B0">
            <w:pPr>
              <w:pStyle w:val="TableParagraph"/>
              <w:spacing w:before="114"/>
            </w:pPr>
            <w:r>
              <w:rPr>
                <w:rFonts w:ascii="Arial" w:hAnsi="Arial"/>
                <w:b/>
                <w:sz w:val="19"/>
              </w:rPr>
              <w:t xml:space="preserve"> </w:t>
            </w:r>
            <w:r>
              <w:rPr>
                <w:rFonts w:ascii="Arial" w:hAnsi="Arial"/>
                <w:sz w:val="19"/>
              </w:rPr>
              <w:t xml:space="preserve">Las clases culminarán de manera no presencial, por distintas modalidades online, que van desde la intensificación de la comunicación vía correo electrónico y del foro bajo la herramienta PRADO, de manera asincrónica, y de manera sincrónica a través de otras modalidades, como videoconferencias, </w:t>
            </w:r>
            <w:proofErr w:type="spellStart"/>
            <w:r>
              <w:rPr>
                <w:rFonts w:ascii="Arial" w:hAnsi="Arial"/>
                <w:sz w:val="19"/>
              </w:rPr>
              <w:t>audioconferencias</w:t>
            </w:r>
            <w:proofErr w:type="spellEnd"/>
            <w:r>
              <w:rPr>
                <w:rFonts w:ascii="Arial" w:hAnsi="Arial"/>
                <w:sz w:val="19"/>
              </w:rPr>
              <w:t xml:space="preserve">, mediante las programas recomendados por la Universidad de Granada, como Google </w:t>
            </w:r>
            <w:proofErr w:type="spellStart"/>
            <w:r>
              <w:rPr>
                <w:rFonts w:ascii="Arial" w:hAnsi="Arial"/>
                <w:sz w:val="19"/>
              </w:rPr>
              <w:t>Meet</w:t>
            </w:r>
            <w:proofErr w:type="spellEnd"/>
            <w:r>
              <w:rPr>
                <w:rFonts w:ascii="Arial" w:hAnsi="Arial"/>
                <w:sz w:val="19"/>
              </w:rPr>
              <w:t xml:space="preserve"> o </w:t>
            </w:r>
            <w:proofErr w:type="spellStart"/>
            <w:r>
              <w:rPr>
                <w:rFonts w:ascii="Arial" w:hAnsi="Arial"/>
                <w:sz w:val="19"/>
              </w:rPr>
              <w:t>Hangouts</w:t>
            </w:r>
            <w:proofErr w:type="spellEnd"/>
            <w:r>
              <w:rPr>
                <w:rFonts w:ascii="Arial" w:hAnsi="Arial"/>
                <w:sz w:val="19"/>
              </w:rPr>
              <w:t xml:space="preserve"> </w:t>
            </w:r>
            <w:proofErr w:type="spellStart"/>
            <w:r>
              <w:rPr>
                <w:rFonts w:ascii="Arial" w:hAnsi="Arial"/>
                <w:sz w:val="19"/>
              </w:rPr>
              <w:t>Power</w:t>
            </w:r>
            <w:proofErr w:type="spellEnd"/>
            <w:r>
              <w:rPr>
                <w:rFonts w:ascii="Arial" w:hAnsi="Arial"/>
                <w:sz w:val="19"/>
              </w:rPr>
              <w:t xml:space="preserve"> Point </w:t>
            </w:r>
            <w:proofErr w:type="spellStart"/>
            <w:r>
              <w:rPr>
                <w:rFonts w:ascii="Arial" w:hAnsi="Arial"/>
                <w:sz w:val="19"/>
              </w:rPr>
              <w:t>locutado</w:t>
            </w:r>
            <w:proofErr w:type="spellEnd"/>
            <w:r>
              <w:rPr>
                <w:rFonts w:ascii="Arial" w:hAnsi="Arial"/>
                <w:sz w:val="19"/>
              </w:rPr>
              <w:t xml:space="preserve"> o cualquier otro que convengan profesor y alumno, como </w:t>
            </w:r>
            <w:proofErr w:type="spellStart"/>
            <w:r>
              <w:rPr>
                <w:rFonts w:ascii="Arial" w:hAnsi="Arial"/>
                <w:sz w:val="19"/>
              </w:rPr>
              <w:t>WhatsApp</w:t>
            </w:r>
            <w:proofErr w:type="spellEnd"/>
            <w:r>
              <w:rPr>
                <w:rFonts w:ascii="Arial" w:hAnsi="Arial"/>
                <w:sz w:val="19"/>
              </w:rPr>
              <w:t xml:space="preserve"> o chat de la </w:t>
            </w:r>
            <w:proofErr w:type="spellStart"/>
            <w:r>
              <w:rPr>
                <w:rFonts w:ascii="Arial" w:hAnsi="Arial"/>
                <w:sz w:val="19"/>
              </w:rPr>
              <w:t>AppCrue</w:t>
            </w:r>
            <w:proofErr w:type="spellEnd"/>
            <w:r>
              <w:rPr>
                <w:rFonts w:ascii="Arial" w:hAnsi="Arial"/>
                <w:sz w:val="19"/>
              </w:rPr>
              <w:t xml:space="preserve"> de la UGR. En lo posible, se alojará en la plataforma PRADO las presentaciones físicas de las clases, que pueden ser transparencias en </w:t>
            </w:r>
            <w:proofErr w:type="spellStart"/>
            <w:r>
              <w:rPr>
                <w:rFonts w:ascii="Arial" w:hAnsi="Arial"/>
                <w:sz w:val="19"/>
              </w:rPr>
              <w:t>Power</w:t>
            </w:r>
            <w:proofErr w:type="spellEnd"/>
            <w:r>
              <w:rPr>
                <w:rFonts w:ascii="Arial" w:hAnsi="Arial"/>
                <w:sz w:val="19"/>
              </w:rPr>
              <w:t xml:space="preserve"> Point, grabaciones en </w:t>
            </w:r>
            <w:proofErr w:type="spellStart"/>
            <w:r>
              <w:rPr>
                <w:rFonts w:ascii="Arial" w:hAnsi="Arial"/>
                <w:sz w:val="19"/>
              </w:rPr>
              <w:t>Youtube</w:t>
            </w:r>
            <w:proofErr w:type="spellEnd"/>
            <w:r>
              <w:rPr>
                <w:rFonts w:ascii="Arial" w:hAnsi="Arial"/>
                <w:sz w:val="19"/>
              </w:rPr>
              <w:t xml:space="preserve">, web y blogs utilidades, artículos de acceso abierto, etc., con referencia expresa a la parte del temario de la asignatura con la que se corresponde, lo que es posible gracias al sistema </w:t>
            </w:r>
            <w:proofErr w:type="spellStart"/>
            <w:r>
              <w:rPr>
                <w:rFonts w:ascii="Arial" w:hAnsi="Arial"/>
                <w:sz w:val="19"/>
              </w:rPr>
              <w:t>Moodle</w:t>
            </w:r>
            <w:proofErr w:type="spellEnd"/>
            <w:r>
              <w:rPr>
                <w:rFonts w:ascii="Arial" w:hAnsi="Arial"/>
                <w:sz w:val="19"/>
              </w:rPr>
              <w:t xml:space="preserve"> bajo el que se articula PRADO. De esta forma, las clases se ajustarán al horario establecido y las tutorías también.</w:t>
            </w:r>
          </w:p>
          <w:p w:rsidR="0027021D" w:rsidRDefault="0027021D">
            <w:pPr>
              <w:pStyle w:val="TableParagraph"/>
              <w:spacing w:before="114"/>
              <w:rPr>
                <w:rFonts w:ascii="Arial" w:hAnsi="Arial"/>
                <w:b/>
                <w:sz w:val="19"/>
              </w:rPr>
            </w:pPr>
          </w:p>
        </w:tc>
      </w:tr>
      <w:tr w:rsidR="0027021D">
        <w:trPr>
          <w:trHeight w:val="921"/>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MEDIDAS DE ADAPTACIÓN DE LA EVALUACIÓN NO PRESENCIAL</w:t>
            </w:r>
          </w:p>
          <w:p w:rsidR="0027021D" w:rsidRDefault="001450B0">
            <w:pPr>
              <w:pStyle w:val="TableParagraph"/>
              <w:spacing w:before="19" w:line="251" w:lineRule="auto"/>
              <w:ind w:right="99"/>
            </w:pPr>
            <w:r>
              <w:rPr>
                <w:w w:val="105"/>
                <w:sz w:val="19"/>
              </w:rPr>
              <w:t>(Herramientas alternativas de evaluación no presencial, indicando instrumentos, criterios de evaluación y porcentajes sobre la calificación final)</w:t>
            </w:r>
          </w:p>
        </w:tc>
      </w:tr>
      <w:tr w:rsidR="0027021D">
        <w:trPr>
          <w:trHeight w:val="450"/>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Convocatoria Ordinaria</w:t>
            </w:r>
          </w:p>
        </w:tc>
      </w:tr>
      <w:tr w:rsidR="0027021D">
        <w:trPr>
          <w:trHeight w:val="1093"/>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numPr>
                <w:ilvl w:val="0"/>
                <w:numId w:val="1"/>
              </w:numPr>
              <w:tabs>
                <w:tab w:val="left" w:pos="110"/>
                <w:tab w:val="left" w:pos="111"/>
              </w:tabs>
              <w:spacing w:before="116"/>
              <w:ind w:hanging="349"/>
            </w:pPr>
            <w:r>
              <w:rPr>
                <w:b/>
                <w:w w:val="105"/>
                <w:sz w:val="19"/>
              </w:rPr>
              <w:t>Herramienta X</w:t>
            </w:r>
          </w:p>
          <w:p w:rsidR="0027021D" w:rsidRDefault="001450B0">
            <w:pPr>
              <w:pStyle w:val="TableParagraph"/>
              <w:tabs>
                <w:tab w:val="left" w:pos="818"/>
                <w:tab w:val="left" w:pos="819"/>
              </w:tabs>
              <w:spacing w:before="116"/>
              <w:rPr>
                <w:w w:val="105"/>
                <w:sz w:val="19"/>
              </w:rPr>
            </w:pPr>
            <w:r>
              <w:rPr>
                <w:w w:val="105"/>
                <w:sz w:val="19"/>
              </w:rPr>
              <w:t>Respecto de la evaluación, en caso de que sea imposible realizarse de forma presencial, se propone como alternativas de entre las que contempla el documento marco anterior la combinación de las siguientes:</w:t>
            </w:r>
          </w:p>
          <w:p w:rsidR="0027021D" w:rsidRDefault="001450B0">
            <w:pPr>
              <w:pStyle w:val="TableParagraph"/>
              <w:tabs>
                <w:tab w:val="left" w:pos="818"/>
                <w:tab w:val="left" w:pos="819"/>
              </w:tabs>
              <w:spacing w:before="116"/>
              <w:rPr>
                <w:w w:val="105"/>
                <w:sz w:val="19"/>
              </w:rPr>
            </w:pPr>
            <w:r>
              <w:rPr>
                <w:w w:val="105"/>
                <w:sz w:val="19"/>
              </w:rPr>
              <w:t>-</w:t>
            </w:r>
            <w:r>
              <w:rPr>
                <w:w w:val="105"/>
                <w:sz w:val="19"/>
              </w:rPr>
              <w:tab/>
              <w:t xml:space="preserve">Se continuará con la evaluación continua. De tal suerte que la participación en clase y debates (en la clases de </w:t>
            </w:r>
            <w:r>
              <w:rPr>
                <w:w w:val="105"/>
                <w:sz w:val="19"/>
              </w:rPr>
              <w:lastRenderedPageBreak/>
              <w:t>teoría, principalmente), y la realización de proyectos y resolución de casos prácticos, entrega final de portafolios (propia de los seminarios, principalmente) que se venían haciendo en la modalidad presencial se podrán seguir haciendo por las modalidad virtuales, mediante foros, PRADO, correo, etc.</w:t>
            </w:r>
          </w:p>
          <w:p w:rsidR="0027021D" w:rsidRDefault="001450B0">
            <w:pPr>
              <w:pStyle w:val="TableParagraph"/>
              <w:tabs>
                <w:tab w:val="left" w:pos="818"/>
                <w:tab w:val="left" w:pos="819"/>
              </w:tabs>
              <w:spacing w:before="116"/>
              <w:rPr>
                <w:w w:val="105"/>
                <w:sz w:val="19"/>
              </w:rPr>
            </w:pPr>
            <w:r>
              <w:rPr>
                <w:w w:val="105"/>
                <w:sz w:val="19"/>
              </w:rPr>
              <w:t>-</w:t>
            </w:r>
            <w:r>
              <w:rPr>
                <w:w w:val="105"/>
                <w:sz w:val="19"/>
              </w:rPr>
              <w:tab/>
              <w:t xml:space="preserve">Con independencia de la realización de pruebas parciales y de la evaluación procesual, se podrá realizar un examen final en la fecha y hora establecidos por el Vicedecanato de la Facultad, por los medios telemáticos antes indicados y/o de programas virtuales de preguntas online (formularios como los propios de PRADO, en concreto la nueva versión creada al efecto PRADO Examen, o, en su caso, a través de la plataforma volcando las preguntas de </w:t>
            </w:r>
            <w:proofErr w:type="spellStart"/>
            <w:r>
              <w:rPr>
                <w:w w:val="105"/>
                <w:sz w:val="19"/>
              </w:rPr>
              <w:t>HotPotatoes</w:t>
            </w:r>
            <w:proofErr w:type="spellEnd"/>
            <w:r>
              <w:rPr>
                <w:w w:val="105"/>
                <w:sz w:val="19"/>
              </w:rPr>
              <w:t xml:space="preserve">, Google </w:t>
            </w:r>
            <w:proofErr w:type="spellStart"/>
            <w:r>
              <w:rPr>
                <w:w w:val="105"/>
                <w:sz w:val="19"/>
              </w:rPr>
              <w:t>Doc</w:t>
            </w:r>
            <w:proofErr w:type="spellEnd"/>
            <w:r>
              <w:rPr>
                <w:w w:val="105"/>
                <w:sz w:val="19"/>
              </w:rPr>
              <w:t xml:space="preserve">, </w:t>
            </w:r>
            <w:proofErr w:type="spellStart"/>
            <w:r>
              <w:rPr>
                <w:w w:val="105"/>
                <w:sz w:val="19"/>
              </w:rPr>
              <w:t>Quiz</w:t>
            </w:r>
            <w:proofErr w:type="spellEnd"/>
            <w:r>
              <w:rPr>
                <w:w w:val="105"/>
                <w:sz w:val="19"/>
              </w:rPr>
              <w:t xml:space="preserve">, </w:t>
            </w:r>
            <w:proofErr w:type="spellStart"/>
            <w:r>
              <w:rPr>
                <w:w w:val="105"/>
                <w:sz w:val="19"/>
              </w:rPr>
              <w:t>Kahooit</w:t>
            </w:r>
            <w:proofErr w:type="spellEnd"/>
            <w:r>
              <w:rPr>
                <w:w w:val="105"/>
                <w:sz w:val="19"/>
              </w:rPr>
              <w:t xml:space="preserve"> o similares, exportándolos a PRADO mediante su archivo en formato </w:t>
            </w:r>
            <w:proofErr w:type="spellStart"/>
            <w:r>
              <w:rPr>
                <w:w w:val="105"/>
                <w:sz w:val="19"/>
              </w:rPr>
              <w:t>WebCT</w:t>
            </w:r>
            <w:proofErr w:type="spellEnd"/>
            <w:r>
              <w:rPr>
                <w:w w:val="105"/>
                <w:sz w:val="19"/>
              </w:rPr>
              <w:t xml:space="preserve">), informando previamente de la modalidad seleccionada a través de PRADO y realizándose las mismas  y/o del/la Delegado/a de curso para que lo traslade al conjunto del estudiantado mediante sus respectivo grupos de </w:t>
            </w:r>
            <w:proofErr w:type="spellStart"/>
            <w:r>
              <w:rPr>
                <w:w w:val="105"/>
                <w:sz w:val="19"/>
              </w:rPr>
              <w:t>WhatsApp</w:t>
            </w:r>
            <w:proofErr w:type="spellEnd"/>
            <w:r>
              <w:rPr>
                <w:w w:val="105"/>
                <w:sz w:val="19"/>
              </w:rPr>
              <w:t>), y en el momento del examen de la dirección de entrada a la plataforma y contraseña.</w:t>
            </w:r>
          </w:p>
          <w:p w:rsidR="0027021D" w:rsidRDefault="001450B0">
            <w:pPr>
              <w:pStyle w:val="TableParagraph"/>
              <w:tabs>
                <w:tab w:val="left" w:pos="818"/>
                <w:tab w:val="left" w:pos="819"/>
              </w:tabs>
              <w:spacing w:before="116"/>
              <w:rPr>
                <w:w w:val="105"/>
                <w:sz w:val="19"/>
              </w:rPr>
            </w:pPr>
            <w:r>
              <w:rPr>
                <w:w w:val="105"/>
                <w:sz w:val="19"/>
              </w:rPr>
              <w:t>De esta manera, el cómputo y ponderación de las calificaciones será el mismo que para la evaluación originariamente contemplada en la guía docente inicial, sólo que se realizará por otros medios diversos y no únicos, que se ajusten tanto a las posibilidades del docente y como del estudiante, máxime cuando algún estudiante muestre alguna NEAE que le impida o dificulte el seguimiento de estos medios y herramientas empleadas.</w:t>
            </w:r>
          </w:p>
          <w:p w:rsidR="0027021D" w:rsidRDefault="0027021D">
            <w:pPr>
              <w:pStyle w:val="TableParagraph"/>
              <w:spacing w:before="12" w:line="251" w:lineRule="auto"/>
              <w:ind w:left="818" w:right="6779"/>
              <w:rPr>
                <w:sz w:val="17"/>
              </w:rPr>
            </w:pPr>
          </w:p>
        </w:tc>
      </w:tr>
      <w:tr w:rsidR="0027021D">
        <w:trPr>
          <w:trHeight w:val="450"/>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lastRenderedPageBreak/>
              <w:t>Convocatoria Extraordinaria</w:t>
            </w:r>
          </w:p>
        </w:tc>
      </w:tr>
      <w:tr w:rsidR="0027021D">
        <w:trPr>
          <w:trHeight w:val="1093"/>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numPr>
                <w:ilvl w:val="0"/>
                <w:numId w:val="2"/>
              </w:numPr>
              <w:tabs>
                <w:tab w:val="left" w:pos="110"/>
                <w:tab w:val="left" w:pos="111"/>
              </w:tabs>
              <w:spacing w:before="120"/>
              <w:ind w:hanging="349"/>
            </w:pPr>
            <w:r>
              <w:rPr>
                <w:w w:val="105"/>
                <w:sz w:val="19"/>
              </w:rPr>
              <w:t xml:space="preserve">Herramienta PRADO, con cuestionario propios de su sistema </w:t>
            </w:r>
            <w:proofErr w:type="spellStart"/>
            <w:r>
              <w:rPr>
                <w:w w:val="105"/>
                <w:sz w:val="19"/>
              </w:rPr>
              <w:t>Moodle</w:t>
            </w:r>
            <w:proofErr w:type="spellEnd"/>
            <w:r>
              <w:rPr>
                <w:w w:val="105"/>
                <w:sz w:val="19"/>
              </w:rPr>
              <w:t>, o exportando de otros como los indicados más arriba. Salvo por la modalidad, no sufrirán cambios adicionales en esa evaluación.</w:t>
            </w:r>
          </w:p>
          <w:p w:rsidR="0027021D" w:rsidRDefault="0027021D">
            <w:pPr>
              <w:pStyle w:val="TableParagraph"/>
              <w:spacing w:before="12" w:line="251" w:lineRule="auto"/>
              <w:ind w:left="818" w:right="6780"/>
              <w:rPr>
                <w:sz w:val="17"/>
              </w:rPr>
            </w:pPr>
          </w:p>
        </w:tc>
      </w:tr>
      <w:tr w:rsidR="0027021D">
        <w:trPr>
          <w:trHeight w:val="921"/>
        </w:trPr>
        <w:tc>
          <w:tcPr>
            <w:tcW w:w="39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7021D" w:rsidRDefault="001450B0">
            <w:pPr>
              <w:pStyle w:val="TableParagraph"/>
              <w:spacing w:before="114"/>
            </w:pPr>
            <w:r>
              <w:rPr>
                <w:rFonts w:ascii="Arial" w:hAnsi="Arial"/>
                <w:b/>
                <w:sz w:val="19"/>
              </w:rPr>
              <w:t>MEDIDAS</w:t>
            </w:r>
            <w:r>
              <w:rPr>
                <w:rFonts w:ascii="Arial" w:hAnsi="Arial"/>
                <w:b/>
                <w:spacing w:val="-25"/>
                <w:sz w:val="19"/>
              </w:rPr>
              <w:t xml:space="preserve"> </w:t>
            </w:r>
            <w:r>
              <w:rPr>
                <w:rFonts w:ascii="Arial" w:hAnsi="Arial"/>
                <w:b/>
                <w:sz w:val="19"/>
              </w:rPr>
              <w:t>DE</w:t>
            </w:r>
            <w:r>
              <w:rPr>
                <w:rFonts w:ascii="Arial" w:hAnsi="Arial"/>
                <w:b/>
                <w:spacing w:val="-25"/>
                <w:sz w:val="19"/>
              </w:rPr>
              <w:t xml:space="preserve"> </w:t>
            </w:r>
            <w:r>
              <w:rPr>
                <w:rFonts w:ascii="Arial" w:hAnsi="Arial"/>
                <w:b/>
                <w:sz w:val="19"/>
              </w:rPr>
              <w:t>ADAPTACIÓN</w:t>
            </w:r>
            <w:r>
              <w:rPr>
                <w:rFonts w:ascii="Arial" w:hAnsi="Arial"/>
                <w:b/>
                <w:spacing w:val="-25"/>
                <w:sz w:val="19"/>
              </w:rPr>
              <w:t xml:space="preserve"> </w:t>
            </w:r>
            <w:r>
              <w:rPr>
                <w:rFonts w:ascii="Arial" w:hAnsi="Arial"/>
                <w:b/>
                <w:sz w:val="19"/>
              </w:rPr>
              <w:t>DE</w:t>
            </w:r>
            <w:r>
              <w:rPr>
                <w:rFonts w:ascii="Arial" w:hAnsi="Arial"/>
                <w:b/>
                <w:spacing w:val="-25"/>
                <w:sz w:val="19"/>
              </w:rPr>
              <w:t xml:space="preserve"> </w:t>
            </w:r>
            <w:r>
              <w:rPr>
                <w:rFonts w:ascii="Arial" w:hAnsi="Arial"/>
                <w:b/>
                <w:sz w:val="19"/>
              </w:rPr>
              <w:t>LA</w:t>
            </w:r>
            <w:r>
              <w:rPr>
                <w:rFonts w:ascii="Arial" w:hAnsi="Arial"/>
                <w:b/>
                <w:spacing w:val="-25"/>
                <w:sz w:val="19"/>
              </w:rPr>
              <w:t xml:space="preserve"> </w:t>
            </w:r>
            <w:r>
              <w:rPr>
                <w:rFonts w:ascii="Arial" w:hAnsi="Arial"/>
                <w:b/>
                <w:sz w:val="19"/>
              </w:rPr>
              <w:t>EVALUA</w:t>
            </w:r>
          </w:p>
          <w:p w:rsidR="0027021D" w:rsidRDefault="001450B0">
            <w:pPr>
              <w:pStyle w:val="TableParagraph"/>
              <w:spacing w:before="19" w:line="244" w:lineRule="auto"/>
            </w:pPr>
            <w:r>
              <w:rPr>
                <w:w w:val="105"/>
                <w:sz w:val="19"/>
              </w:rPr>
              <w:t>(Herramientas alternativas de evaluación porcentajes sobre la calificación final)</w:t>
            </w:r>
          </w:p>
        </w:tc>
        <w:tc>
          <w:tcPr>
            <w:tcW w:w="3699" w:type="dxa"/>
            <w:gridSpan w:val="2"/>
            <w:tcBorders>
              <w:top w:val="single" w:sz="4" w:space="0" w:color="000000"/>
              <w:bottom w:val="single" w:sz="4" w:space="0" w:color="000000"/>
            </w:tcBorders>
            <w:shd w:val="clear" w:color="auto" w:fill="auto"/>
            <w:tcMar>
              <w:top w:w="0" w:type="dxa"/>
              <w:left w:w="0" w:type="dxa"/>
              <w:bottom w:w="0" w:type="dxa"/>
              <w:right w:w="0" w:type="dxa"/>
            </w:tcMar>
          </w:tcPr>
          <w:p w:rsidR="0027021D" w:rsidRDefault="001450B0">
            <w:pPr>
              <w:pStyle w:val="TableParagraph"/>
              <w:spacing w:before="114"/>
              <w:ind w:left="-6"/>
              <w:rPr>
                <w:rFonts w:ascii="Arial" w:hAnsi="Arial"/>
                <w:b/>
                <w:sz w:val="19"/>
              </w:rPr>
            </w:pPr>
            <w:r>
              <w:rPr>
                <w:rFonts w:ascii="Arial" w:hAnsi="Arial"/>
                <w:b/>
                <w:sz w:val="19"/>
              </w:rPr>
              <w:t>CIÓN ÚNICA FINAL NO PRESENCIAL</w:t>
            </w:r>
          </w:p>
          <w:p w:rsidR="0027021D" w:rsidRDefault="001450B0">
            <w:pPr>
              <w:pStyle w:val="TableParagraph"/>
              <w:spacing w:before="19"/>
              <w:ind w:left="0"/>
            </w:pPr>
            <w:r>
              <w:rPr>
                <w:w w:val="105"/>
                <w:sz w:val="19"/>
              </w:rPr>
              <w:t>no presencial, indicando instrumentos,</w:t>
            </w:r>
          </w:p>
        </w:tc>
        <w:tc>
          <w:tcPr>
            <w:tcW w:w="852" w:type="dxa"/>
            <w:tcBorders>
              <w:top w:val="single" w:sz="4" w:space="0" w:color="000000"/>
              <w:bottom w:val="single" w:sz="4" w:space="0" w:color="000000"/>
            </w:tcBorders>
            <w:shd w:val="clear" w:color="auto" w:fill="auto"/>
            <w:tcMar>
              <w:top w:w="0" w:type="dxa"/>
              <w:left w:w="0" w:type="dxa"/>
              <w:bottom w:w="0" w:type="dxa"/>
              <w:right w:w="0" w:type="dxa"/>
            </w:tcMar>
          </w:tcPr>
          <w:p w:rsidR="0027021D" w:rsidRDefault="0027021D">
            <w:pPr>
              <w:pStyle w:val="TableParagraph"/>
              <w:ind w:left="0"/>
              <w:rPr>
                <w:sz w:val="30"/>
              </w:rPr>
            </w:pPr>
          </w:p>
          <w:p w:rsidR="0027021D" w:rsidRDefault="001450B0">
            <w:pPr>
              <w:pStyle w:val="TableParagraph"/>
              <w:ind w:left="70"/>
            </w:pPr>
            <w:r>
              <w:rPr>
                <w:w w:val="105"/>
                <w:sz w:val="19"/>
              </w:rPr>
              <w:t>criterios</w:t>
            </w:r>
          </w:p>
        </w:tc>
        <w:tc>
          <w:tcPr>
            <w:tcW w:w="339" w:type="dxa"/>
            <w:tcBorders>
              <w:top w:val="single" w:sz="4" w:space="0" w:color="000000"/>
              <w:bottom w:val="single" w:sz="4" w:space="0" w:color="000000"/>
            </w:tcBorders>
            <w:shd w:val="clear" w:color="auto" w:fill="auto"/>
            <w:tcMar>
              <w:top w:w="0" w:type="dxa"/>
              <w:left w:w="0" w:type="dxa"/>
              <w:bottom w:w="0" w:type="dxa"/>
              <w:right w:w="0" w:type="dxa"/>
            </w:tcMar>
          </w:tcPr>
          <w:p w:rsidR="0027021D" w:rsidRDefault="0027021D">
            <w:pPr>
              <w:pStyle w:val="TableParagraph"/>
              <w:ind w:left="0"/>
              <w:rPr>
                <w:sz w:val="30"/>
              </w:rPr>
            </w:pPr>
          </w:p>
          <w:p w:rsidR="0027021D" w:rsidRDefault="001450B0">
            <w:pPr>
              <w:pStyle w:val="TableParagraph"/>
              <w:ind w:left="71"/>
            </w:pPr>
            <w:r>
              <w:rPr>
                <w:w w:val="105"/>
                <w:sz w:val="19"/>
              </w:rPr>
              <w:t>de</w:t>
            </w:r>
          </w:p>
        </w:tc>
        <w:tc>
          <w:tcPr>
            <w:tcW w:w="1050" w:type="dxa"/>
            <w:tcBorders>
              <w:top w:val="single" w:sz="4" w:space="0" w:color="000000"/>
              <w:bottom w:val="single" w:sz="4" w:space="0" w:color="000000"/>
            </w:tcBorders>
            <w:shd w:val="clear" w:color="auto" w:fill="auto"/>
            <w:tcMar>
              <w:top w:w="0" w:type="dxa"/>
              <w:left w:w="0" w:type="dxa"/>
              <w:bottom w:w="0" w:type="dxa"/>
              <w:right w:w="0" w:type="dxa"/>
            </w:tcMar>
          </w:tcPr>
          <w:p w:rsidR="0027021D" w:rsidRDefault="0027021D">
            <w:pPr>
              <w:pStyle w:val="TableParagraph"/>
              <w:ind w:left="0"/>
              <w:rPr>
                <w:sz w:val="30"/>
              </w:rPr>
            </w:pPr>
          </w:p>
          <w:p w:rsidR="0027021D" w:rsidRDefault="001450B0">
            <w:pPr>
              <w:pStyle w:val="TableParagraph"/>
              <w:ind w:left="71"/>
            </w:pPr>
            <w:r>
              <w:rPr>
                <w:w w:val="105"/>
                <w:sz w:val="19"/>
              </w:rPr>
              <w:t>evaluación</w:t>
            </w:r>
          </w:p>
        </w:tc>
        <w:tc>
          <w:tcPr>
            <w:tcW w:w="27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sz w:val="30"/>
              </w:rPr>
            </w:pPr>
          </w:p>
          <w:p w:rsidR="0027021D" w:rsidRDefault="001450B0">
            <w:pPr>
              <w:pStyle w:val="TableParagraph"/>
              <w:ind w:left="72"/>
            </w:pPr>
            <w:r>
              <w:rPr>
                <w:w w:val="103"/>
                <w:sz w:val="19"/>
              </w:rPr>
              <w:t>y</w:t>
            </w:r>
          </w:p>
        </w:tc>
      </w:tr>
      <w:tr w:rsidR="0027021D">
        <w:trPr>
          <w:trHeight w:val="1093"/>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numPr>
                <w:ilvl w:val="0"/>
                <w:numId w:val="3"/>
              </w:numPr>
              <w:tabs>
                <w:tab w:val="left" w:pos="110"/>
                <w:tab w:val="left" w:pos="111"/>
              </w:tabs>
              <w:spacing w:before="116"/>
              <w:ind w:hanging="349"/>
            </w:pPr>
            <w:r>
              <w:rPr>
                <w:w w:val="105"/>
                <w:sz w:val="19"/>
              </w:rPr>
              <w:t>Herramienta PRADO Examen con las especificaciones anteriores y con la puntuación única de esta prueba, como aparece en la guía docente primitiva.</w:t>
            </w:r>
          </w:p>
          <w:p w:rsidR="0027021D" w:rsidRDefault="0027021D">
            <w:pPr>
              <w:pStyle w:val="TableParagraph"/>
              <w:spacing w:before="12" w:line="247" w:lineRule="auto"/>
              <w:ind w:left="818" w:right="6778"/>
              <w:rPr>
                <w:sz w:val="17"/>
              </w:rPr>
            </w:pPr>
          </w:p>
        </w:tc>
      </w:tr>
      <w:tr w:rsidR="0027021D">
        <w:trPr>
          <w:trHeight w:val="686"/>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4"/>
              <w:rPr>
                <w:rFonts w:ascii="Arial" w:hAnsi="Arial"/>
                <w:b/>
                <w:sz w:val="19"/>
              </w:rPr>
            </w:pPr>
            <w:r>
              <w:rPr>
                <w:rFonts w:ascii="Arial" w:hAnsi="Arial"/>
                <w:b/>
                <w:sz w:val="19"/>
              </w:rPr>
              <w:t>RECURSOS Y ENLACES RECOMENDADOS PARA EL APRENDIZAJE Y EVALUACIÓN NO PRESENCIAL</w:t>
            </w:r>
          </w:p>
          <w:p w:rsidR="0027021D" w:rsidRDefault="001450B0">
            <w:pPr>
              <w:pStyle w:val="TableParagraph"/>
              <w:spacing w:before="14"/>
            </w:pPr>
            <w:r>
              <w:rPr>
                <w:w w:val="105"/>
                <w:sz w:val="19"/>
              </w:rPr>
              <w:t>(Alternativas a la bibliografía fundamental y complementaria recogidas en la Guía Docente)</w:t>
            </w:r>
          </w:p>
        </w:tc>
      </w:tr>
      <w:tr w:rsidR="0027021D">
        <w:trPr>
          <w:trHeight w:val="1420"/>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12"/>
              <w:rPr>
                <w:w w:val="105"/>
                <w:sz w:val="19"/>
              </w:rPr>
            </w:pPr>
            <w:r>
              <w:rPr>
                <w:w w:val="105"/>
                <w:sz w:val="19"/>
              </w:rPr>
              <w:t xml:space="preserve">RECURSOS: Presentaciones en </w:t>
            </w:r>
            <w:proofErr w:type="spellStart"/>
            <w:r>
              <w:rPr>
                <w:w w:val="105"/>
                <w:sz w:val="19"/>
              </w:rPr>
              <w:t>Power</w:t>
            </w:r>
            <w:proofErr w:type="spellEnd"/>
            <w:r>
              <w:rPr>
                <w:w w:val="105"/>
                <w:sz w:val="19"/>
              </w:rPr>
              <w:t xml:space="preserve"> Point, </w:t>
            </w:r>
            <w:proofErr w:type="spellStart"/>
            <w:r>
              <w:rPr>
                <w:w w:val="105"/>
                <w:sz w:val="19"/>
              </w:rPr>
              <w:t>Prezzi</w:t>
            </w:r>
            <w:proofErr w:type="spellEnd"/>
            <w:r>
              <w:rPr>
                <w:w w:val="105"/>
                <w:sz w:val="19"/>
              </w:rPr>
              <w:t xml:space="preserve"> o similares colgados en PRADO</w:t>
            </w:r>
          </w:p>
          <w:p w:rsidR="0027021D" w:rsidRDefault="0027021D">
            <w:pPr>
              <w:pStyle w:val="TableParagraph"/>
              <w:spacing w:before="16"/>
              <w:ind w:left="470"/>
              <w:rPr>
                <w:rFonts w:ascii="Symbol" w:hAnsi="Symbol"/>
                <w:sz w:val="19"/>
              </w:rPr>
            </w:pPr>
          </w:p>
          <w:p w:rsidR="0027021D" w:rsidRDefault="001450B0">
            <w:pPr>
              <w:pStyle w:val="TableParagraph"/>
              <w:spacing w:before="8"/>
            </w:pPr>
            <w:r>
              <w:rPr>
                <w:w w:val="105"/>
                <w:sz w:val="19"/>
              </w:rPr>
              <w:t>ENLACES:</w:t>
            </w:r>
            <w:r>
              <w:rPr>
                <w:sz w:val="19"/>
              </w:rPr>
              <w:t xml:space="preserve"> Los mismos enlaces web de la guía original.</w:t>
            </w:r>
          </w:p>
        </w:tc>
      </w:tr>
      <w:tr w:rsidR="0027021D">
        <w:trPr>
          <w:trHeight w:val="681"/>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1450B0">
            <w:pPr>
              <w:pStyle w:val="TableParagraph"/>
              <w:spacing w:before="109"/>
              <w:rPr>
                <w:rFonts w:ascii="Arial" w:hAnsi="Arial"/>
                <w:b/>
                <w:sz w:val="19"/>
              </w:rPr>
            </w:pPr>
            <w:r>
              <w:rPr>
                <w:rFonts w:ascii="Arial" w:hAnsi="Arial"/>
                <w:b/>
                <w:sz w:val="19"/>
              </w:rPr>
              <w:t>INFORMACIÓN ADICIONAL</w:t>
            </w:r>
          </w:p>
          <w:p w:rsidR="0027021D" w:rsidRDefault="001450B0">
            <w:pPr>
              <w:pStyle w:val="TableParagraph"/>
              <w:spacing w:before="19"/>
            </w:pPr>
            <w:r>
              <w:rPr>
                <w:w w:val="105"/>
                <w:sz w:val="19"/>
              </w:rPr>
              <w:t>(Cumplimentar con el texto correspondiente, si procede)</w:t>
            </w:r>
          </w:p>
        </w:tc>
      </w:tr>
      <w:tr w:rsidR="0027021D">
        <w:trPr>
          <w:trHeight w:val="498"/>
        </w:trPr>
        <w:tc>
          <w:tcPr>
            <w:tcW w:w="101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7021D" w:rsidRDefault="0027021D">
            <w:pPr>
              <w:pStyle w:val="TableParagraph"/>
              <w:ind w:left="0"/>
              <w:rPr>
                <w:rFonts w:ascii="Times New Roman" w:hAnsi="Times New Roman"/>
                <w:sz w:val="18"/>
              </w:rPr>
            </w:pPr>
          </w:p>
          <w:p w:rsidR="006E096F" w:rsidRDefault="006E096F">
            <w:pPr>
              <w:pStyle w:val="TableParagraph"/>
              <w:ind w:left="0"/>
              <w:rPr>
                <w:rFonts w:ascii="Times New Roman" w:hAnsi="Times New Roman"/>
                <w:sz w:val="18"/>
              </w:rPr>
            </w:pPr>
            <w:r>
              <w:rPr>
                <w:rFonts w:ascii="Times New Roman" w:hAnsi="Times New Roman"/>
                <w:sz w:val="18"/>
              </w:rPr>
              <w:t xml:space="preserve">Como la asignatura dispone de varios grupos de dos </w:t>
            </w:r>
            <w:proofErr w:type="spellStart"/>
            <w:r>
              <w:rPr>
                <w:rFonts w:ascii="Times New Roman" w:hAnsi="Times New Roman"/>
                <w:sz w:val="18"/>
              </w:rPr>
              <w:t>dptos</w:t>
            </w:r>
            <w:proofErr w:type="spellEnd"/>
            <w:r>
              <w:rPr>
                <w:rFonts w:ascii="Times New Roman" w:hAnsi="Times New Roman"/>
                <w:sz w:val="18"/>
              </w:rPr>
              <w:t>.</w:t>
            </w:r>
            <w:proofErr w:type="gramStart"/>
            <w:r>
              <w:rPr>
                <w:rFonts w:ascii="Times New Roman" w:hAnsi="Times New Roman"/>
                <w:sz w:val="18"/>
              </w:rPr>
              <w:t>:D</w:t>
            </w:r>
            <w:proofErr w:type="gramEnd"/>
            <w:r>
              <w:rPr>
                <w:rFonts w:ascii="Times New Roman" w:hAnsi="Times New Roman"/>
                <w:sz w:val="18"/>
              </w:rPr>
              <w:t xml:space="preserve">OE y Psicología </w:t>
            </w:r>
            <w:proofErr w:type="spellStart"/>
            <w:r>
              <w:rPr>
                <w:rFonts w:ascii="Times New Roman" w:hAnsi="Times New Roman"/>
                <w:sz w:val="18"/>
              </w:rPr>
              <w:t>evolutriva</w:t>
            </w:r>
            <w:proofErr w:type="spellEnd"/>
            <w:r>
              <w:rPr>
                <w:rFonts w:ascii="Times New Roman" w:hAnsi="Times New Roman"/>
                <w:sz w:val="18"/>
              </w:rPr>
              <w:t xml:space="preserve"> y de la educación se concretarán en el marco de las dimensiones anteriores la actuación específica de cada docente.</w:t>
            </w:r>
          </w:p>
          <w:p w:rsidR="0027021D" w:rsidRDefault="0027021D">
            <w:pPr>
              <w:pStyle w:val="TableParagraph"/>
              <w:ind w:left="0"/>
              <w:rPr>
                <w:rFonts w:ascii="Times New Roman" w:hAnsi="Times New Roman"/>
                <w:sz w:val="18"/>
              </w:rPr>
            </w:pPr>
          </w:p>
        </w:tc>
      </w:tr>
    </w:tbl>
    <w:p w:rsidR="0027021D" w:rsidRDefault="0027021D"/>
    <w:sectPr w:rsidR="0027021D">
      <w:headerReference w:type="default" r:id="rId8"/>
      <w:footerReference w:type="default" r:id="rId9"/>
      <w:pgSz w:w="11910" w:h="16840"/>
      <w:pgMar w:top="1400" w:right="720" w:bottom="2280" w:left="760" w:header="618"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A1" w:rsidRDefault="001F6CA1">
      <w:r>
        <w:separator/>
      </w:r>
    </w:p>
  </w:endnote>
  <w:endnote w:type="continuationSeparator" w:id="0">
    <w:p w:rsidR="001F6CA1" w:rsidRDefault="001F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9" w:rsidRDefault="001450B0">
    <w:pPr>
      <w:pStyle w:val="Textoindependiente"/>
      <w:spacing w:line="12" w:lineRule="auto"/>
    </w:pPr>
    <w:r>
      <w:rPr>
        <w:noProof/>
        <w:lang w:bidi="ar-SA"/>
      </w:rPr>
      <w:drawing>
        <wp:anchor distT="0" distB="0" distL="114300" distR="114300" simplePos="0" relativeHeight="251661312" behindDoc="1" locked="0" layoutInCell="1" allowOverlap="1">
          <wp:simplePos x="0" y="0"/>
          <wp:positionH relativeFrom="page">
            <wp:posOffset>529126</wp:posOffset>
          </wp:positionH>
          <wp:positionV relativeFrom="page">
            <wp:posOffset>8947760</wp:posOffset>
          </wp:positionV>
          <wp:extent cx="6500881" cy="13009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0881" cy="1300935"/>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62336" behindDoc="1" locked="0" layoutInCell="1" allowOverlap="1">
              <wp:simplePos x="0" y="0"/>
              <wp:positionH relativeFrom="page">
                <wp:posOffset>6228078</wp:posOffset>
              </wp:positionH>
              <wp:positionV relativeFrom="page">
                <wp:posOffset>9168131</wp:posOffset>
              </wp:positionV>
              <wp:extent cx="393704" cy="148590"/>
              <wp:effectExtent l="0" t="0" r="6346" b="3810"/>
              <wp:wrapNone/>
              <wp:docPr id="3" name="Text Box 1"/>
              <wp:cNvGraphicFramePr/>
              <a:graphic xmlns:a="http://schemas.openxmlformats.org/drawingml/2006/main">
                <a:graphicData uri="http://schemas.microsoft.com/office/word/2010/wordprocessingShape">
                  <wps:wsp>
                    <wps:cNvSpPr txBox="1"/>
                    <wps:spPr>
                      <a:xfrm>
                        <a:off x="0" y="0"/>
                        <a:ext cx="393704" cy="148590"/>
                      </a:xfrm>
                      <a:prstGeom prst="rect">
                        <a:avLst/>
                      </a:prstGeom>
                      <a:noFill/>
                      <a:ln>
                        <a:noFill/>
                        <a:prstDash/>
                      </a:ln>
                    </wps:spPr>
                    <wps:txbx>
                      <w:txbxContent>
                        <w:p w:rsidR="002E1FE9" w:rsidRDefault="001450B0">
                          <w:pPr>
                            <w:spacing w:before="18"/>
                            <w:ind w:left="20"/>
                          </w:pPr>
                          <w:r>
                            <w:rPr>
                              <w:rFonts w:ascii="Impact" w:hAnsi="Impact"/>
                              <w:color w:val="FFFFFF"/>
                              <w:sz w:val="16"/>
                            </w:rPr>
                            <w:t xml:space="preserve">Página </w:t>
                          </w:r>
                          <w:r>
                            <w:rPr>
                              <w:rFonts w:ascii="Impact" w:hAnsi="Impact"/>
                              <w:color w:val="FFFFFF"/>
                              <w:sz w:val="16"/>
                            </w:rPr>
                            <w:fldChar w:fldCharType="begin"/>
                          </w:r>
                          <w:r>
                            <w:rPr>
                              <w:rFonts w:ascii="Impact" w:hAnsi="Impact"/>
                              <w:color w:val="FFFFFF"/>
                              <w:sz w:val="16"/>
                            </w:rPr>
                            <w:instrText xml:space="preserve"> PAGE </w:instrText>
                          </w:r>
                          <w:r>
                            <w:rPr>
                              <w:rFonts w:ascii="Impact" w:hAnsi="Impact"/>
                              <w:color w:val="FFFFFF"/>
                              <w:sz w:val="16"/>
                            </w:rPr>
                            <w:fldChar w:fldCharType="separate"/>
                          </w:r>
                          <w:r w:rsidR="001F3652">
                            <w:rPr>
                              <w:rFonts w:ascii="Impact" w:hAnsi="Impact"/>
                              <w:noProof/>
                              <w:color w:val="FFFFFF"/>
                              <w:sz w:val="16"/>
                            </w:rPr>
                            <w:t>1</w:t>
                          </w:r>
                          <w:r>
                            <w:rPr>
                              <w:rFonts w:ascii="Impact" w:hAnsi="Impact"/>
                              <w:color w:val="FFFFFF"/>
                              <w:sz w:val="16"/>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4pt;margin-top:721.9pt;width:31pt;height:11.7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YpvQEAAGYDAAAOAAAAZHJzL2Uyb0RvYy54bWysU9tu2zAMfR+wfxD0vshpuq01ohTYgg4D&#10;iq1Aug9gZCkWoNskNXb29aPkOB26t2EvNEVSRzyH9PputIYcZUzaO06Xi4YS6YTvtDtw+uPp/t0N&#10;JSmD68B4Jzk9yUTvNm/frIfQyivfe9PJSBDEpXYInPY5h5axJHppIS18kA6TykcLGY/xwLoIA6Jb&#10;w66a5gMbfOxC9EKmhNHtlKSbiq+UFPm7UklmYjjF3nK1sdp9sWyzhvYQIfRanNuAf+jCgnb46AVq&#10;CxnIc9R/QVktok9e5YXwlnmltJCVA7JZNq/Y7HoIsnJBcVK4yJT+H6z4dnyMRHecrihxYHFET3LM&#10;5JMfybKoM4TUYtEuYFkeMYxTnuMJg4X0qKItX6RDMI86ny7aFjCBwdXt6mNzTYnA1PL65v1t1Z69&#10;XA4x5S/SW1IcTiOOrioKx4eUsREsnUvKW87fa2Pq+Ix7FSh1W0j9dKukWaExtVu8PO7HM7e9705I&#10;DVcYH+19/EXJgOvAafr5DFFSYr461LvszuzE2dnPDjiBVznNlEzu5zztGA45QH5wuyDOitROcJiV&#10;0Hnxyrb8ea79vvwem98AAAD//wMAUEsDBBQABgAIAAAAIQB+upC84AAAAA4BAAAPAAAAZHJzL2Rv&#10;d25yZXYueG1sTI/BTsMwEETvSPyDtUjcqE2IQhviVBWCExIiDQeOTuwmVuN1iN02/D2bE9xmd0az&#10;b4vt7AZ2NlOwHiXcrwQwg63XFjsJn/Xr3RpYiAq1GjwaCT8mwLa8vipUrv0FK3Pex45RCYZcSehj&#10;HHPOQ9sbp8LKjwbJO/jJqUjj1HE9qQuVu4EnQmTcKYt0oVejee5Ne9yfnITdF1Yv9vu9+agOla3r&#10;jcC37Cjl7c28ewIWzRz/wrDgEzqUxNT4E+rABgmbtSD0SEaaPpBaIiJNSDXLLntMgJcF//9G+QsA&#10;AP//AwBQSwECLQAUAAYACAAAACEAtoM4kv4AAADhAQAAEwAAAAAAAAAAAAAAAAAAAAAAW0NvbnRl&#10;bnRfVHlwZXNdLnhtbFBLAQItABQABgAIAAAAIQA4/SH/1gAAAJQBAAALAAAAAAAAAAAAAAAAAC8B&#10;AABfcmVscy8ucmVsc1BLAQItABQABgAIAAAAIQDG4SYpvQEAAGYDAAAOAAAAAAAAAAAAAAAAAC4C&#10;AABkcnMvZTJvRG9jLnhtbFBLAQItABQABgAIAAAAIQB+upC84AAAAA4BAAAPAAAAAAAAAAAAAAAA&#10;ABcEAABkcnMvZG93bnJldi54bWxQSwUGAAAAAAQABADzAAAAJAUAAAAA&#10;" filled="f" stroked="f">
              <v:textbox inset="0,0,0,0">
                <w:txbxContent>
                  <w:p w:rsidR="002E1FE9" w:rsidRDefault="001450B0">
                    <w:pPr>
                      <w:spacing w:before="18"/>
                      <w:ind w:left="20"/>
                    </w:pPr>
                    <w:r>
                      <w:rPr>
                        <w:rFonts w:ascii="Impact" w:hAnsi="Impact"/>
                        <w:color w:val="FFFFFF"/>
                        <w:sz w:val="16"/>
                      </w:rPr>
                      <w:t xml:space="preserve">Página </w:t>
                    </w:r>
                    <w:r>
                      <w:rPr>
                        <w:rFonts w:ascii="Impact" w:hAnsi="Impact"/>
                        <w:color w:val="FFFFFF"/>
                        <w:sz w:val="16"/>
                      </w:rPr>
                      <w:fldChar w:fldCharType="begin"/>
                    </w:r>
                    <w:r>
                      <w:rPr>
                        <w:rFonts w:ascii="Impact" w:hAnsi="Impact"/>
                        <w:color w:val="FFFFFF"/>
                        <w:sz w:val="16"/>
                      </w:rPr>
                      <w:instrText xml:space="preserve"> PAGE </w:instrText>
                    </w:r>
                    <w:r>
                      <w:rPr>
                        <w:rFonts w:ascii="Impact" w:hAnsi="Impact"/>
                        <w:color w:val="FFFFFF"/>
                        <w:sz w:val="16"/>
                      </w:rPr>
                      <w:fldChar w:fldCharType="separate"/>
                    </w:r>
                    <w:r w:rsidR="001F3652">
                      <w:rPr>
                        <w:rFonts w:ascii="Impact" w:hAnsi="Impact"/>
                        <w:noProof/>
                        <w:color w:val="FFFFFF"/>
                        <w:sz w:val="16"/>
                      </w:rPr>
                      <w:t>1</w:t>
                    </w:r>
                    <w:r>
                      <w:rPr>
                        <w:rFonts w:ascii="Impact" w:hAnsi="Impact"/>
                        <w:color w:val="FFFFFF"/>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A1" w:rsidRDefault="001F6CA1">
      <w:r>
        <w:rPr>
          <w:color w:val="000000"/>
        </w:rPr>
        <w:separator/>
      </w:r>
    </w:p>
  </w:footnote>
  <w:footnote w:type="continuationSeparator" w:id="0">
    <w:p w:rsidR="001F6CA1" w:rsidRDefault="001F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9" w:rsidRDefault="001450B0">
    <w:pPr>
      <w:pStyle w:val="Textoindependiente"/>
      <w:spacing w:line="12" w:lineRule="auto"/>
    </w:pPr>
    <w:r>
      <w:rPr>
        <w:noProof/>
        <w:lang w:bidi="ar-SA"/>
      </w:rPr>
      <w:drawing>
        <wp:anchor distT="0" distB="0" distL="114300" distR="114300" simplePos="0" relativeHeight="251659264" behindDoc="1" locked="0" layoutInCell="1" allowOverlap="1">
          <wp:simplePos x="0" y="0"/>
          <wp:positionH relativeFrom="page">
            <wp:posOffset>629207</wp:posOffset>
          </wp:positionH>
          <wp:positionV relativeFrom="page">
            <wp:posOffset>455471</wp:posOffset>
          </wp:positionV>
          <wp:extent cx="6412988" cy="63733"/>
          <wp:effectExtent l="0" t="0" r="6862"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12988" cy="6373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509"/>
    <w:multiLevelType w:val="multilevel"/>
    <w:tmpl w:val="C868CC4A"/>
    <w:lvl w:ilvl="0">
      <w:numFmt w:val="bullet"/>
      <w:lvlText w:val=""/>
      <w:lvlJc w:val="left"/>
      <w:pPr>
        <w:ind w:left="818" w:hanging="348"/>
      </w:pPr>
      <w:rPr>
        <w:rFonts w:ascii="Symbol" w:eastAsia="Symbol" w:hAnsi="Symbol" w:cs="Symbol"/>
        <w:w w:val="103"/>
        <w:sz w:val="19"/>
        <w:szCs w:val="19"/>
        <w:lang w:val="es-ES" w:eastAsia="es-ES" w:bidi="es-ES"/>
      </w:rPr>
    </w:lvl>
    <w:lvl w:ilvl="1">
      <w:numFmt w:val="bullet"/>
      <w:lvlText w:val="•"/>
      <w:lvlJc w:val="left"/>
      <w:pPr>
        <w:ind w:left="1755" w:hanging="348"/>
      </w:pPr>
      <w:rPr>
        <w:lang w:val="es-ES" w:eastAsia="es-ES" w:bidi="es-ES"/>
      </w:rPr>
    </w:lvl>
    <w:lvl w:ilvl="2">
      <w:numFmt w:val="bullet"/>
      <w:lvlText w:val="•"/>
      <w:lvlJc w:val="left"/>
      <w:pPr>
        <w:ind w:left="2691" w:hanging="348"/>
      </w:pPr>
      <w:rPr>
        <w:lang w:val="es-ES" w:eastAsia="es-ES" w:bidi="es-ES"/>
      </w:rPr>
    </w:lvl>
    <w:lvl w:ilvl="3">
      <w:numFmt w:val="bullet"/>
      <w:lvlText w:val="•"/>
      <w:lvlJc w:val="left"/>
      <w:pPr>
        <w:ind w:left="3627" w:hanging="348"/>
      </w:pPr>
      <w:rPr>
        <w:lang w:val="es-ES" w:eastAsia="es-ES" w:bidi="es-ES"/>
      </w:rPr>
    </w:lvl>
    <w:lvl w:ilvl="4">
      <w:numFmt w:val="bullet"/>
      <w:lvlText w:val="•"/>
      <w:lvlJc w:val="left"/>
      <w:pPr>
        <w:ind w:left="4563" w:hanging="348"/>
      </w:pPr>
      <w:rPr>
        <w:lang w:val="es-ES" w:eastAsia="es-ES" w:bidi="es-ES"/>
      </w:rPr>
    </w:lvl>
    <w:lvl w:ilvl="5">
      <w:numFmt w:val="bullet"/>
      <w:lvlText w:val="•"/>
      <w:lvlJc w:val="left"/>
      <w:pPr>
        <w:ind w:left="5499" w:hanging="348"/>
      </w:pPr>
      <w:rPr>
        <w:lang w:val="es-ES" w:eastAsia="es-ES" w:bidi="es-ES"/>
      </w:rPr>
    </w:lvl>
    <w:lvl w:ilvl="6">
      <w:numFmt w:val="bullet"/>
      <w:lvlText w:val="•"/>
      <w:lvlJc w:val="left"/>
      <w:pPr>
        <w:ind w:left="6435" w:hanging="348"/>
      </w:pPr>
      <w:rPr>
        <w:lang w:val="es-ES" w:eastAsia="es-ES" w:bidi="es-ES"/>
      </w:rPr>
    </w:lvl>
    <w:lvl w:ilvl="7">
      <w:numFmt w:val="bullet"/>
      <w:lvlText w:val="•"/>
      <w:lvlJc w:val="left"/>
      <w:pPr>
        <w:ind w:left="7371" w:hanging="348"/>
      </w:pPr>
      <w:rPr>
        <w:lang w:val="es-ES" w:eastAsia="es-ES" w:bidi="es-ES"/>
      </w:rPr>
    </w:lvl>
    <w:lvl w:ilvl="8">
      <w:numFmt w:val="bullet"/>
      <w:lvlText w:val="•"/>
      <w:lvlJc w:val="left"/>
      <w:pPr>
        <w:ind w:left="8307" w:hanging="348"/>
      </w:pPr>
      <w:rPr>
        <w:lang w:val="es-ES" w:eastAsia="es-ES" w:bidi="es-ES"/>
      </w:rPr>
    </w:lvl>
  </w:abstractNum>
  <w:abstractNum w:abstractNumId="1">
    <w:nsid w:val="1F885BAF"/>
    <w:multiLevelType w:val="multilevel"/>
    <w:tmpl w:val="4184B39E"/>
    <w:lvl w:ilvl="0">
      <w:numFmt w:val="bullet"/>
      <w:lvlText w:val=""/>
      <w:lvlJc w:val="left"/>
      <w:pPr>
        <w:ind w:left="818" w:hanging="348"/>
      </w:pPr>
      <w:rPr>
        <w:rFonts w:ascii="Symbol" w:eastAsia="Symbol" w:hAnsi="Symbol" w:cs="Symbol"/>
        <w:w w:val="103"/>
        <w:sz w:val="19"/>
        <w:szCs w:val="19"/>
        <w:lang w:val="es-ES" w:eastAsia="es-ES" w:bidi="es-ES"/>
      </w:rPr>
    </w:lvl>
    <w:lvl w:ilvl="1">
      <w:numFmt w:val="bullet"/>
      <w:lvlText w:val="•"/>
      <w:lvlJc w:val="left"/>
      <w:pPr>
        <w:ind w:left="1756" w:hanging="348"/>
      </w:pPr>
      <w:rPr>
        <w:lang w:val="es-ES" w:eastAsia="es-ES" w:bidi="es-ES"/>
      </w:rPr>
    </w:lvl>
    <w:lvl w:ilvl="2">
      <w:numFmt w:val="bullet"/>
      <w:lvlText w:val="•"/>
      <w:lvlJc w:val="left"/>
      <w:pPr>
        <w:ind w:left="2692" w:hanging="348"/>
      </w:pPr>
      <w:rPr>
        <w:lang w:val="es-ES" w:eastAsia="es-ES" w:bidi="es-ES"/>
      </w:rPr>
    </w:lvl>
    <w:lvl w:ilvl="3">
      <w:numFmt w:val="bullet"/>
      <w:lvlText w:val="•"/>
      <w:lvlJc w:val="left"/>
      <w:pPr>
        <w:ind w:left="3628" w:hanging="348"/>
      </w:pPr>
      <w:rPr>
        <w:lang w:val="es-ES" w:eastAsia="es-ES" w:bidi="es-ES"/>
      </w:rPr>
    </w:lvl>
    <w:lvl w:ilvl="4">
      <w:numFmt w:val="bullet"/>
      <w:lvlText w:val="•"/>
      <w:lvlJc w:val="left"/>
      <w:pPr>
        <w:ind w:left="4564" w:hanging="348"/>
      </w:pPr>
      <w:rPr>
        <w:lang w:val="es-ES" w:eastAsia="es-ES" w:bidi="es-ES"/>
      </w:rPr>
    </w:lvl>
    <w:lvl w:ilvl="5">
      <w:numFmt w:val="bullet"/>
      <w:lvlText w:val="•"/>
      <w:lvlJc w:val="left"/>
      <w:pPr>
        <w:ind w:left="5500" w:hanging="348"/>
      </w:pPr>
      <w:rPr>
        <w:lang w:val="es-ES" w:eastAsia="es-ES" w:bidi="es-ES"/>
      </w:rPr>
    </w:lvl>
    <w:lvl w:ilvl="6">
      <w:numFmt w:val="bullet"/>
      <w:lvlText w:val="•"/>
      <w:lvlJc w:val="left"/>
      <w:pPr>
        <w:ind w:left="6436" w:hanging="348"/>
      </w:pPr>
      <w:rPr>
        <w:lang w:val="es-ES" w:eastAsia="es-ES" w:bidi="es-ES"/>
      </w:rPr>
    </w:lvl>
    <w:lvl w:ilvl="7">
      <w:numFmt w:val="bullet"/>
      <w:lvlText w:val="•"/>
      <w:lvlJc w:val="left"/>
      <w:pPr>
        <w:ind w:left="7372" w:hanging="348"/>
      </w:pPr>
      <w:rPr>
        <w:lang w:val="es-ES" w:eastAsia="es-ES" w:bidi="es-ES"/>
      </w:rPr>
    </w:lvl>
    <w:lvl w:ilvl="8">
      <w:numFmt w:val="bullet"/>
      <w:lvlText w:val="•"/>
      <w:lvlJc w:val="left"/>
      <w:pPr>
        <w:ind w:left="8308" w:hanging="348"/>
      </w:pPr>
      <w:rPr>
        <w:lang w:val="es-ES" w:eastAsia="es-ES" w:bidi="es-ES"/>
      </w:rPr>
    </w:lvl>
  </w:abstractNum>
  <w:abstractNum w:abstractNumId="2">
    <w:nsid w:val="295C6F69"/>
    <w:multiLevelType w:val="multilevel"/>
    <w:tmpl w:val="A15E1718"/>
    <w:lvl w:ilvl="0">
      <w:numFmt w:val="bullet"/>
      <w:lvlText w:val=""/>
      <w:lvlJc w:val="left"/>
      <w:pPr>
        <w:ind w:left="818" w:hanging="348"/>
      </w:pPr>
      <w:rPr>
        <w:rFonts w:ascii="Symbol" w:eastAsia="Symbol" w:hAnsi="Symbol" w:cs="Symbol"/>
        <w:w w:val="103"/>
        <w:sz w:val="19"/>
        <w:szCs w:val="19"/>
        <w:lang w:val="es-ES" w:eastAsia="es-ES" w:bidi="es-ES"/>
      </w:rPr>
    </w:lvl>
    <w:lvl w:ilvl="1">
      <w:numFmt w:val="bullet"/>
      <w:lvlText w:val="•"/>
      <w:lvlJc w:val="left"/>
      <w:pPr>
        <w:ind w:left="1756" w:hanging="348"/>
      </w:pPr>
      <w:rPr>
        <w:lang w:val="es-ES" w:eastAsia="es-ES" w:bidi="es-ES"/>
      </w:rPr>
    </w:lvl>
    <w:lvl w:ilvl="2">
      <w:numFmt w:val="bullet"/>
      <w:lvlText w:val="•"/>
      <w:lvlJc w:val="left"/>
      <w:pPr>
        <w:ind w:left="2692" w:hanging="348"/>
      </w:pPr>
      <w:rPr>
        <w:lang w:val="es-ES" w:eastAsia="es-ES" w:bidi="es-ES"/>
      </w:rPr>
    </w:lvl>
    <w:lvl w:ilvl="3">
      <w:numFmt w:val="bullet"/>
      <w:lvlText w:val="•"/>
      <w:lvlJc w:val="left"/>
      <w:pPr>
        <w:ind w:left="3628" w:hanging="348"/>
      </w:pPr>
      <w:rPr>
        <w:lang w:val="es-ES" w:eastAsia="es-ES" w:bidi="es-ES"/>
      </w:rPr>
    </w:lvl>
    <w:lvl w:ilvl="4">
      <w:numFmt w:val="bullet"/>
      <w:lvlText w:val="•"/>
      <w:lvlJc w:val="left"/>
      <w:pPr>
        <w:ind w:left="4564" w:hanging="348"/>
      </w:pPr>
      <w:rPr>
        <w:lang w:val="es-ES" w:eastAsia="es-ES" w:bidi="es-ES"/>
      </w:rPr>
    </w:lvl>
    <w:lvl w:ilvl="5">
      <w:numFmt w:val="bullet"/>
      <w:lvlText w:val="•"/>
      <w:lvlJc w:val="left"/>
      <w:pPr>
        <w:ind w:left="5500" w:hanging="348"/>
      </w:pPr>
      <w:rPr>
        <w:lang w:val="es-ES" w:eastAsia="es-ES" w:bidi="es-ES"/>
      </w:rPr>
    </w:lvl>
    <w:lvl w:ilvl="6">
      <w:numFmt w:val="bullet"/>
      <w:lvlText w:val="•"/>
      <w:lvlJc w:val="left"/>
      <w:pPr>
        <w:ind w:left="6436" w:hanging="348"/>
      </w:pPr>
      <w:rPr>
        <w:lang w:val="es-ES" w:eastAsia="es-ES" w:bidi="es-ES"/>
      </w:rPr>
    </w:lvl>
    <w:lvl w:ilvl="7">
      <w:numFmt w:val="bullet"/>
      <w:lvlText w:val="•"/>
      <w:lvlJc w:val="left"/>
      <w:pPr>
        <w:ind w:left="7372" w:hanging="348"/>
      </w:pPr>
      <w:rPr>
        <w:lang w:val="es-ES" w:eastAsia="es-ES" w:bidi="es-ES"/>
      </w:rPr>
    </w:lvl>
    <w:lvl w:ilvl="8">
      <w:numFmt w:val="bullet"/>
      <w:lvlText w:val="•"/>
      <w:lvlJc w:val="left"/>
      <w:pPr>
        <w:ind w:left="8308" w:hanging="348"/>
      </w:pPr>
      <w:rPr>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021D"/>
    <w:rsid w:val="001450B0"/>
    <w:rsid w:val="001F3652"/>
    <w:rsid w:val="001F6CA1"/>
    <w:rsid w:val="0027021D"/>
    <w:rsid w:val="006E0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17"/>
      <w:szCs w:val="17"/>
    </w:rPr>
  </w:style>
  <w:style w:type="paragraph" w:styleId="Prrafodelista">
    <w:name w:val="List Paragraph"/>
    <w:basedOn w:val="Normal"/>
  </w:style>
  <w:style w:type="paragraph" w:customStyle="1" w:styleId="TableParagraph">
    <w:name w:val="Table Paragraph"/>
    <w:basedOn w:val="Normal"/>
    <w:pPr>
      <w:ind w:left="110"/>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mbria" w:eastAsia="Cambria" w:hAnsi="Cambria" w:cs="Cambria"/>
      <w:lang w:val="es-ES" w:eastAsia="es-ES" w:bidi="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mbria" w:eastAsia="Cambria" w:hAnsi="Cambria" w:cs="Cambria"/>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17"/>
      <w:szCs w:val="17"/>
    </w:rPr>
  </w:style>
  <w:style w:type="paragraph" w:styleId="Prrafodelista">
    <w:name w:val="List Paragraph"/>
    <w:basedOn w:val="Normal"/>
  </w:style>
  <w:style w:type="paragraph" w:customStyle="1" w:styleId="TableParagraph">
    <w:name w:val="Table Paragraph"/>
    <w:basedOn w:val="Normal"/>
    <w:pPr>
      <w:ind w:left="110"/>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mbria" w:eastAsia="Cambria" w:hAnsi="Cambria" w:cs="Cambria"/>
      <w:lang w:val="es-ES" w:eastAsia="es-ES" w:bidi="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mbria" w:eastAsia="Cambria" w:hAnsi="Cambria" w:cs="Cambri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T101</dc:creator>
  <cp:lastModifiedBy>T101</cp:lastModifiedBy>
  <cp:revision>2</cp:revision>
  <dcterms:created xsi:type="dcterms:W3CDTF">2020-04-23T07:46:00Z</dcterms:created>
  <dcterms:modified xsi:type="dcterms:W3CDTF">2020-04-23T07:46:00Z</dcterms:modified>
</cp:coreProperties>
</file>